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782AF7">
      <w:pPr>
        <w:pStyle w:val="25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-69215</wp:posOffset>
            </wp:positionH>
            <wp:positionV relativeFrom="paragraph">
              <wp:posOffset>-45720</wp:posOffset>
            </wp:positionV>
            <wp:extent cx="2320925" cy="2320925"/>
            <wp:effectExtent l="0" t="0" r="26035" b="26035"/>
            <wp:wrapTight wrapText="bothSides">
              <wp:wrapPolygon>
                <wp:start x="0" y="0"/>
                <wp:lineTo x="0" y="21417"/>
                <wp:lineTo x="21417" y="21417"/>
                <wp:lineTo x="21417" y="0"/>
                <wp:lineTo x="0" y="0"/>
              </wp:wrapPolygon>
            </wp:wrapTight>
            <wp:docPr id="1" name="Изображение 1" descr="3DSY-60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3DSY-60_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20925" cy="2320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Calibri" w:hAnsi="Calibri" w:cs="Calibri"/>
        </w:rPr>
        <w:t>Электрический опрессовочный насос REDLI 3DSY-60</w:t>
      </w:r>
    </w:p>
    <w:p w14:paraId="7301CB64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REDLI 3DSY-60 — электрический плунжерный опрессовочный насос для проверки герметичности систем водоснабжения, отопления, пожаротушения, паровых и котельных установок, а также небольших резервуаров. Давление до 60 бар и питание 220 В позволяют использовать его для монтажных и сервисных работ в пределах допуска испытуемого объекта.</w:t>
      </w:r>
    </w:p>
    <w:p w14:paraId="0DB65FA2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Ключевые технические параметры</w:t>
      </w:r>
    </w:p>
    <w:p w14:paraId="089EE169">
      <w:pPr>
        <w:pStyle w:val="2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Максимальное давление — 60 бар.</w:t>
      </w:r>
    </w:p>
    <w:p w14:paraId="3B22D89E">
      <w:pPr>
        <w:pStyle w:val="2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Производительность — 6 л/мин.</w:t>
      </w:r>
    </w:p>
    <w:p w14:paraId="1A78D233">
      <w:pPr>
        <w:pStyle w:val="2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Электропитание — 220 В; мощность — 750 Вт.</w:t>
      </w:r>
    </w:p>
    <w:p w14:paraId="75DFED35">
      <w:pPr>
        <w:pStyle w:val="2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Объем бака — 13 л.</w:t>
      </w:r>
    </w:p>
    <w:p w14:paraId="4128A03D">
      <w:pPr>
        <w:pStyle w:val="2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Габариты — 540 × 300 × 420 мм. Масса — 20 кг.</w:t>
      </w:r>
    </w:p>
    <w:p w14:paraId="15B70C4F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Режим работы</w:t>
      </w:r>
    </w:p>
    <w:p w14:paraId="3530E3B1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Рабочий цикл включает заполнение и удаление воздуха, набор давления, выдержку по программе испытания и контролируемый сброс давления. Продолжительность включения и перерывы выбирают по паспорту поставленного насоса. Время выдержки определяет программа испытаний объекта; производительность насоса не задает длительность всего испытания.</w:t>
      </w:r>
    </w:p>
    <w:p w14:paraId="0615036E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Конструкция и компоновка</w:t>
      </w:r>
    </w:p>
    <w:p w14:paraId="497F0591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Плунжерная насосная часть приводится электродвигателем мощностью 750 Вт. Предусмотрены резервуар, манометр, рукоятка для переноски и органы управления. В руководстве описаны запорный и предохранительный клапаны, выходной штуцер и рукав высокого давления. Насос и двигатель требуют защиты от попадания воды и загрязнений.</w:t>
      </w:r>
    </w:p>
    <w:p w14:paraId="2CDED493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Комплектация</w:t>
      </w:r>
    </w:p>
    <w:p w14:paraId="53BC4BA3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В руководстве указаны насос, один рукав высокого давления, переходник, три уплотнения, руководство и гарантийный талон. Состав конкретной поставки сверяют с упаковочным листом.</w:t>
      </w:r>
    </w:p>
    <w:p w14:paraId="1DB02BF1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0D542E87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Области применения</w:t>
      </w:r>
    </w:p>
    <w:p w14:paraId="21FC6C55">
      <w:pPr>
        <w:pStyle w:val="2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Монтаж и обслуживание — проверка водоснабжения и отопительных контуров.</w:t>
      </w:r>
    </w:p>
    <w:p w14:paraId="11DBD085">
      <w:pPr>
        <w:pStyle w:val="2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Ремонт оборудования — гидравлические испытания емкостей и трубопроводов.</w:t>
      </w:r>
    </w:p>
    <w:p w14:paraId="3755305D">
      <w:pPr>
        <w:pStyle w:val="2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Приемка работ — создание давления для контроля герметичности по программе испытаний.</w:t>
      </w:r>
    </w:p>
    <w:p w14:paraId="450C7EB0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Производительность и практический результат</w:t>
      </w:r>
    </w:p>
    <w:p w14:paraId="5DCF77AE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Заявленная подача соответствует приблизительно 6 л/мин. Для масштаба: перекачивание 100 л при неизменной паспортной подаче заняло бы около 16,7 мин. Это расчет V/Q без учета потерь, долива, удаления воздуха и набора давления, а не длительность опрессовки и не гарантированная подача при максимальном давлении.</w:t>
      </w:r>
    </w:p>
    <w:p w14:paraId="4FFF1ED7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Электропривод снимает с оператора повторяющуюся ручную накачку. Один насос может выполнять функцию одного ручного или электрического опрессовщика при совпадении требуемого давления, жидкости и подключений. Число работников и реальную экономию времени определяют хронометражем полного цикла; выдержка и контроль результатов сохраняются.</w:t>
      </w:r>
    </w:p>
    <w:p w14:paraId="3ECB1BD4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Обучение персонала</w:t>
      </w:r>
    </w:p>
    <w:p w14:paraId="52AF669B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Обучение проводят на конкретном объекте: проверка соединений и манометра, заполнение без воздушных полостей, управление набором давления, безопасный сброс и действия при утечке. Новый оператор должен самостоятельно выполнить контрольный цикл под наблюдением ответственного специалиста. Срок допуска определяется освоенными действиями, а не обещанием обучения за несколько минут.</w:t>
      </w:r>
    </w:p>
    <w:p w14:paraId="72967DC7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Эксплуатация расходники и сервис</w:t>
      </w:r>
    </w:p>
    <w:p w14:paraId="46B5B1A8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Перед работой осматривают рукава, уплотнения и резьбы, проверяют совместимость рабочей жидкости и состояние манометра. Испытательное давление устанавливают по программе объекта с учетом допуска самого слабого элемента системы. Все присоединения выполняют при снятом давлении; воздух удаляют до испытания.</w:t>
      </w:r>
    </w:p>
    <w:p w14:paraId="4307AD0B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После работы давление контролируемо сбрасывают, остатки жидкости удаляют по руководству и готовят насос к хранению. Основные обслуживаемые элементы — уплотнения, клапаны, фильтр на входе при его наличии, рукава и манометр. Интервалы обслуживания, смазку и консервационные составы выбирают по паспорту конкретного исполнения. Ремонт насосной и электрической части выполняет квалифицированный специалист.</w:t>
      </w:r>
    </w:p>
    <w:p w14:paraId="7FDA787B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Ограничения применения</w:t>
      </w:r>
    </w:p>
    <w:p w14:paraId="3D0EF4EB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Насос предназначен для гидравлических испытаний. Режимы с газами и пневматические испытания требуют отдельного оборудования и подтвержденного допуска. Нельзя превышать давление рукавов, арматуры и испытуемого объекта, разбирать соединения под давлением или применять загрязненную и несовместимую жидкость. Электрооборудование подключают по требованиям его паспорта.</w:t>
      </w:r>
    </w:p>
    <w:p w14:paraId="082AEE57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628833B0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Часто задаваемые вопросы</w:t>
      </w:r>
    </w:p>
    <w:p w14:paraId="2163FDE0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Максимальное давление нужно использовать всегда? </w:t>
      </w:r>
      <w:r>
        <w:rPr>
          <w:rFonts w:hint="default" w:ascii="Calibri" w:hAnsi="Calibri" w:cs="Calibri"/>
        </w:rPr>
        <w:t>Нет. Давление и выдержку задает программа испытания объекта; предел насоса является ограничением оборудования.</w:t>
      </w:r>
    </w:p>
    <w:p w14:paraId="770A1632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Падение давления обязательно означает течь? </w:t>
      </w:r>
      <w:r>
        <w:rPr>
          <w:rFonts w:hint="default" w:ascii="Calibri" w:hAnsi="Calibri" w:cs="Calibri"/>
        </w:rPr>
        <w:t>Нет. Следует исключить влияние температуры, остаточного воздуха, деформации элементов и негерметичности испытательной обвязки.</w:t>
      </w:r>
    </w:p>
    <w:p w14:paraId="036B79A4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Можно ли заменить насос компрессором? </w:t>
      </w:r>
      <w:r>
        <w:rPr>
          <w:rFonts w:hint="default" w:ascii="Calibri" w:hAnsi="Calibri" w:cs="Calibri"/>
        </w:rPr>
        <w:t>Гидравлические и пневматические испытания различаются по методике и рискам. Такая замена без отдельной программы и допуска не применяется.</w:t>
      </w:r>
    </w:p>
    <w:p w14:paraId="5B71FAD2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Можно ли заранее назвать число испытаний за смену? </w:t>
      </w:r>
      <w:r>
        <w:rPr>
          <w:rFonts w:hint="default" w:ascii="Calibri" w:hAnsi="Calibri" w:cs="Calibri"/>
        </w:rPr>
        <w:t>Только после определения объема системы, времени подготовки, выдержки, слива и оформления результатов. Паспортной подачи для этого недостаточно.</w:t>
      </w:r>
    </w:p>
    <w:p w14:paraId="1FB36604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Краткая спецификация для технического задания</w:t>
      </w:r>
    </w:p>
    <w:tbl>
      <w:tblPr>
        <w:tblStyle w:val="12"/>
        <w:tblW w:w="0" w:type="auto"/>
        <w:tblInd w:w="0" w:type="dxa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5328"/>
      </w:tblGrid>
      <w:tr w14:paraId="48BEB71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4320" w:type="dxa"/>
            <w:shd w:val="clear" w:color="auto"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BFF95EB">
            <w:pPr>
              <w:spacing w:after="0" w:line="240" w:lineRule="auto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sz w:val="21"/>
              </w:rPr>
              <w:t>Параметр</w:t>
            </w:r>
          </w:p>
        </w:tc>
        <w:tc>
          <w:tcPr>
            <w:tcW w:w="5328" w:type="dxa"/>
            <w:shd w:val="clear" w:color="auto"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17EFE10">
            <w:pPr>
              <w:spacing w:after="0" w:line="240" w:lineRule="auto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sz w:val="21"/>
              </w:rPr>
              <w:t>Значение</w:t>
            </w:r>
          </w:p>
        </w:tc>
      </w:tr>
      <w:tr w14:paraId="2DB9A51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32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65D9B3F">
            <w:pPr>
              <w:spacing w:after="0" w:line="240" w:lineRule="auto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sz w:val="21"/>
              </w:rPr>
              <w:t>Модель</w:t>
            </w:r>
          </w:p>
        </w:tc>
        <w:tc>
          <w:tcPr>
            <w:tcW w:w="532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3A4C0AB">
            <w:pPr>
              <w:spacing w:after="0" w:line="240" w:lineRule="auto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sz w:val="21"/>
              </w:rPr>
              <w:t>REDLI 3DSY-60</w:t>
            </w:r>
          </w:p>
        </w:tc>
      </w:tr>
      <w:tr w14:paraId="104BC9B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32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9DE6964">
            <w:pPr>
              <w:spacing w:after="0" w:line="240" w:lineRule="auto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sz w:val="21"/>
              </w:rPr>
              <w:t>Тип</w:t>
            </w:r>
          </w:p>
        </w:tc>
        <w:tc>
          <w:tcPr>
            <w:tcW w:w="532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90ACC24">
            <w:pPr>
              <w:spacing w:after="0" w:line="240" w:lineRule="auto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sz w:val="21"/>
              </w:rPr>
              <w:t>Электрический опрессовочный насос</w:t>
            </w:r>
          </w:p>
        </w:tc>
      </w:tr>
      <w:tr w14:paraId="6E0305F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32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8BDD423">
            <w:pPr>
              <w:spacing w:after="0" w:line="240" w:lineRule="auto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sz w:val="21"/>
              </w:rPr>
              <w:t>Максимальное давление</w:t>
            </w:r>
          </w:p>
        </w:tc>
        <w:tc>
          <w:tcPr>
            <w:tcW w:w="532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F40B6">
            <w:pPr>
              <w:spacing w:after="0" w:line="240" w:lineRule="auto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sz w:val="21"/>
              </w:rPr>
              <w:t>60 бар / 6 МПа</w:t>
            </w:r>
          </w:p>
        </w:tc>
      </w:tr>
      <w:tr w14:paraId="011FAD2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32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2FBA767">
            <w:pPr>
              <w:spacing w:after="0" w:line="240" w:lineRule="auto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sz w:val="21"/>
              </w:rPr>
              <w:t>Производительность</w:t>
            </w:r>
          </w:p>
        </w:tc>
        <w:tc>
          <w:tcPr>
            <w:tcW w:w="532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7121007">
            <w:pPr>
              <w:spacing w:after="0" w:line="240" w:lineRule="auto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sz w:val="21"/>
              </w:rPr>
              <w:t>6 л/мин</w:t>
            </w:r>
          </w:p>
        </w:tc>
      </w:tr>
      <w:tr w14:paraId="7969805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32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84518B1">
            <w:pPr>
              <w:spacing w:after="0" w:line="240" w:lineRule="auto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sz w:val="21"/>
              </w:rPr>
              <w:t>Напряжение питания</w:t>
            </w:r>
          </w:p>
        </w:tc>
        <w:tc>
          <w:tcPr>
            <w:tcW w:w="532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E1BA30A">
            <w:pPr>
              <w:spacing w:after="0" w:line="240" w:lineRule="auto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sz w:val="21"/>
              </w:rPr>
              <w:t>220 В</w:t>
            </w:r>
          </w:p>
        </w:tc>
      </w:tr>
      <w:tr w14:paraId="3C49C619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32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5EB58F8">
            <w:pPr>
              <w:spacing w:after="0" w:line="240" w:lineRule="auto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sz w:val="21"/>
              </w:rPr>
              <w:t>Мощность</w:t>
            </w:r>
          </w:p>
        </w:tc>
        <w:tc>
          <w:tcPr>
            <w:tcW w:w="532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978C6EB">
            <w:pPr>
              <w:spacing w:after="0" w:line="240" w:lineRule="auto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sz w:val="21"/>
              </w:rPr>
              <w:t>750 Вт</w:t>
            </w:r>
          </w:p>
        </w:tc>
      </w:tr>
      <w:tr w14:paraId="14A0F8F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32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0CD8F73">
            <w:pPr>
              <w:spacing w:after="0" w:line="240" w:lineRule="auto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sz w:val="21"/>
              </w:rPr>
              <w:t>Объем бака</w:t>
            </w:r>
          </w:p>
        </w:tc>
        <w:tc>
          <w:tcPr>
            <w:tcW w:w="532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EA5D460">
            <w:pPr>
              <w:spacing w:after="0" w:line="240" w:lineRule="auto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sz w:val="21"/>
              </w:rPr>
              <w:t>13 л</w:t>
            </w:r>
          </w:p>
        </w:tc>
      </w:tr>
      <w:tr w14:paraId="200835D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32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9290C97">
            <w:pPr>
              <w:spacing w:after="0" w:line="240" w:lineRule="auto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sz w:val="21"/>
              </w:rPr>
              <w:t>Габариты</w:t>
            </w:r>
          </w:p>
        </w:tc>
        <w:tc>
          <w:tcPr>
            <w:tcW w:w="532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6E0568C">
            <w:pPr>
              <w:spacing w:after="0" w:line="240" w:lineRule="auto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sz w:val="21"/>
              </w:rPr>
              <w:t>540 × 300 × 420 мм</w:t>
            </w:r>
          </w:p>
        </w:tc>
      </w:tr>
      <w:tr w14:paraId="03D9CE5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32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E26846A">
            <w:pPr>
              <w:spacing w:after="0" w:line="240" w:lineRule="auto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sz w:val="21"/>
              </w:rPr>
              <w:t>Вес</w:t>
            </w:r>
          </w:p>
        </w:tc>
        <w:tc>
          <w:tcPr>
            <w:tcW w:w="532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EE267B3">
            <w:pPr>
              <w:spacing w:after="0" w:line="240" w:lineRule="auto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sz w:val="21"/>
              </w:rPr>
              <w:t>20 кг</w:t>
            </w:r>
          </w:p>
        </w:tc>
      </w:tr>
    </w:tbl>
    <w:p w14:paraId="60738220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Для закупки дополнительно согласуют рукава, присоединения, диапазон и точность манометра, условия питания и комплект документов. Номиналы насоса должны соответствовать программе испытаний, а вся обвязка — требуемому давлению.</w:t>
      </w:r>
    </w:p>
    <w:p w14:paraId="2FB885AA">
      <w:pPr>
        <w:jc w:val="both"/>
        <w:rPr>
          <w:rFonts w:hint="default" w:ascii="Calibri" w:hAnsi="Calibri" w:cs="Calibri"/>
        </w:rPr>
      </w:pPr>
      <w:bookmarkStart w:id="0" w:name="_GoBack"/>
      <w:bookmarkEnd w:id="0"/>
    </w:p>
    <w:sectPr>
      <w:pgSz w:w="12240" w:h="15840"/>
      <w:pgMar w:top="936" w:right="1152" w:bottom="936" w:left="115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roman"/>
    <w:pitch w:val="default"/>
    <w:sig w:usb0="E00002FF" w:usb1="6AC7FDFB" w:usb2="08000012" w:usb3="00000000" w:csb0="4002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0" w:lineRule="auto"/>
      </w:pPr>
      <w:r>
        <w:separator/>
      </w:r>
    </w:p>
  </w:footnote>
  <w:footnote w:type="continuationSeparator" w:id="1">
    <w:p>
      <w:pPr>
        <w:spacing w:before="0" w:after="0" w:line="25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18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8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4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2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6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66A1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250" w:lineRule="auto"/>
    </w:pPr>
    <w:rPr>
      <w:rFonts w:ascii="Arial" w:hAnsi="Arial" w:eastAsiaTheme="minorEastAsia" w:cstheme="minorBidi"/>
      <w:color w:val="000000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180" w:after="100"/>
      <w:outlineLvl w:val="0"/>
    </w:pPr>
    <w:rPr>
      <w:rFonts w:asciiTheme="majorHAnsi" w:hAnsiTheme="majorHAnsi" w:eastAsiaTheme="majorEastAsia" w:cstheme="majorBidi"/>
      <w:b/>
      <w:bCs/>
      <w:color w:val="000000"/>
      <w:sz w:val="26"/>
      <w:szCs w:val="28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180" w:after="100"/>
      <w:outlineLvl w:val="1"/>
    </w:pPr>
    <w:rPr>
      <w:rFonts w:asciiTheme="majorHAnsi" w:hAnsiTheme="majorHAnsi" w:eastAsiaTheme="majorEastAsia" w:cstheme="majorBidi"/>
      <w:b/>
      <w:bCs/>
      <w:color w:val="000000"/>
      <w:sz w:val="22"/>
      <w:szCs w:val="26"/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16">
    <w:name w:val="Body Text 2"/>
    <w:basedOn w:val="1"/>
    <w:link w:val="47"/>
    <w:unhideWhenUsed/>
    <w:uiPriority w:val="99"/>
    <w:pPr>
      <w:spacing w:after="120" w:line="480" w:lineRule="auto"/>
    </w:pPr>
  </w:style>
  <w:style w:type="paragraph" w:styleId="1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List Number 3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9">
    <w:name w:val="header"/>
    <w:basedOn w:val="1"/>
    <w:link w:val="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Body Text"/>
    <w:basedOn w:val="1"/>
    <w:link w:val="46"/>
    <w:unhideWhenUsed/>
    <w:uiPriority w:val="99"/>
    <w:pPr>
      <w:spacing w:after="120"/>
    </w:pPr>
  </w:style>
  <w:style w:type="paragraph" w:styleId="21">
    <w:name w:val="macro"/>
    <w:link w:val="49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2">
    <w:name w:val="List Bullet"/>
    <w:basedOn w:val="1"/>
    <w:unhideWhenUsed/>
    <w:uiPriority w:val="99"/>
    <w:pPr>
      <w:numPr>
        <w:ilvl w:val="0"/>
        <w:numId w:val="2"/>
      </w:numPr>
      <w:spacing w:after="60"/>
      <w:contextualSpacing/>
    </w:pPr>
    <w:rPr>
      <w:rFonts w:ascii="Arial" w:hAnsi="Arial"/>
      <w:color w:val="000000"/>
    </w:rPr>
  </w:style>
  <w:style w:type="paragraph" w:styleId="23">
    <w:name w:val="List Bullet 2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4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25">
    <w:name w:val="Title"/>
    <w:basedOn w:val="1"/>
    <w:next w:val="1"/>
    <w:link w:val="43"/>
    <w:qFormat/>
    <w:uiPriority w:val="10"/>
    <w:pPr>
      <w:spacing w:after="180" w:line="240" w:lineRule="auto"/>
      <w:contextualSpacing/>
    </w:pPr>
    <w:rPr>
      <w:rFonts w:asciiTheme="majorHAnsi" w:hAnsiTheme="majorHAnsi" w:eastAsiaTheme="majorEastAsia" w:cstheme="majorBidi"/>
      <w:color w:val="000000"/>
      <w:spacing w:val="5"/>
      <w:kern w:val="28"/>
      <w:sz w:val="38"/>
      <w:szCs w:val="52"/>
    </w:rPr>
  </w:style>
  <w:style w:type="paragraph" w:styleId="26">
    <w:name w:val="footer"/>
    <w:basedOn w:val="1"/>
    <w:link w:val="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List Number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8">
    <w:name w:val="List Number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9">
    <w:name w:val="List"/>
    <w:basedOn w:val="1"/>
    <w:unhideWhenUsed/>
    <w:uiPriority w:val="99"/>
    <w:pPr>
      <w:ind w:left="360" w:hanging="360"/>
      <w:contextualSpacing/>
    </w:pPr>
  </w:style>
  <w:style w:type="paragraph" w:styleId="30">
    <w:name w:val="Body Text 3"/>
    <w:basedOn w:val="1"/>
    <w:link w:val="48"/>
    <w:unhideWhenUsed/>
    <w:uiPriority w:val="99"/>
    <w:pPr>
      <w:spacing w:after="120"/>
    </w:pPr>
    <w:rPr>
      <w:sz w:val="16"/>
      <w:szCs w:val="16"/>
    </w:rPr>
  </w:style>
  <w:style w:type="paragraph" w:styleId="31">
    <w:name w:val="Subtitle"/>
    <w:basedOn w:val="1"/>
    <w:next w:val="1"/>
    <w:link w:val="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2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3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4">
    <w:name w:val="List 2"/>
    <w:basedOn w:val="1"/>
    <w:unhideWhenUsed/>
    <w:uiPriority w:val="99"/>
    <w:pPr>
      <w:ind w:left="720" w:hanging="360"/>
      <w:contextualSpacing/>
    </w:pPr>
  </w:style>
  <w:style w:type="paragraph" w:styleId="35">
    <w:name w:val="List 3"/>
    <w:basedOn w:val="1"/>
    <w:unhideWhenUsed/>
    <w:uiPriority w:val="99"/>
    <w:pPr>
      <w:ind w:left="1080" w:hanging="360"/>
      <w:contextualSpacing/>
    </w:pPr>
  </w:style>
  <w:style w:type="table" w:styleId="36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7">
    <w:name w:val="Header Char"/>
    <w:basedOn w:val="11"/>
    <w:link w:val="19"/>
    <w:uiPriority w:val="99"/>
  </w:style>
  <w:style w:type="character" w:customStyle="1" w:styleId="38">
    <w:name w:val="Footer Char"/>
    <w:basedOn w:val="11"/>
    <w:link w:val="26"/>
    <w:uiPriority w:val="99"/>
  </w:style>
  <w:style w:type="paragraph" w:styleId="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0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1">
    <w:name w:val="Heading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2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3">
    <w:name w:val="Title Char"/>
    <w:basedOn w:val="11"/>
    <w:link w:val="25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4">
    <w:name w:val="Subtitle Char"/>
    <w:basedOn w:val="11"/>
    <w:link w:val="31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character" w:customStyle="1" w:styleId="46">
    <w:name w:val="Body Text Char"/>
    <w:basedOn w:val="11"/>
    <w:link w:val="20"/>
    <w:uiPriority w:val="99"/>
  </w:style>
  <w:style w:type="character" w:customStyle="1" w:styleId="47">
    <w:name w:val="Body Text 2 Char"/>
    <w:basedOn w:val="11"/>
    <w:link w:val="16"/>
    <w:uiPriority w:val="99"/>
  </w:style>
  <w:style w:type="character" w:customStyle="1" w:styleId="48">
    <w:name w:val="Body Text 3 Char"/>
    <w:basedOn w:val="11"/>
    <w:link w:val="30"/>
    <w:uiPriority w:val="99"/>
    <w:rPr>
      <w:sz w:val="16"/>
      <w:szCs w:val="16"/>
    </w:rPr>
  </w:style>
  <w:style w:type="character" w:customStyle="1" w:styleId="49">
    <w:name w:val="Macro Text Char"/>
    <w:basedOn w:val="11"/>
    <w:link w:val="21"/>
    <w:uiPriority w:val="99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1">
    <w:name w:val="Quote Char"/>
    <w:basedOn w:val="11"/>
    <w:link w:val="50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3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4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5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6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7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qFormat/>
    <w:uiPriority w:val="30"/>
    <w:pP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Intense Quote Char"/>
    <w:basedOn w:val="11"/>
    <w:link w:val="58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1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3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4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5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6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7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8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69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0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1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2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3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4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5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6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7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8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79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0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1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2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3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4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5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6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7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8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5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2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3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4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5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6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7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8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09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6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7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8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19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0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1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2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3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0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1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2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3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4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5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6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7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8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39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0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1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2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3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7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1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2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3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4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5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6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7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8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59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0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1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2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3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666</Words>
  <Characters>4639</Characters>
  <Lines>0</Lines>
  <Paragraphs>0</Paragraphs>
  <TotalTime>2</TotalTime>
  <ScaleCrop>false</ScaleCrop>
  <LinksUpToDate>false</LinksUpToDate>
  <CharactersWithSpaces>5246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Анастасия Зинче�</cp:lastModifiedBy>
  <dcterms:modified xsi:type="dcterms:W3CDTF">2026-10-28T15:55:54Z</dcterms:modified>
  <dc:subject>Техническая презентация и спецификация</dc:subject>
  <dc:title>Опрессовочный насос REDLI 3DSY-60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eyJoZGlkIjoiZjE0NTEzYWIxNGJiZjFkNWI2NzU0NDIxYTczZGNjNDYiLCJ1c2VySWQiOiI4NDI1MzMxMDQ4OTYifQ==</vt:lpwstr>
  </property>
  <property fmtid="{D5CDD505-2E9C-101B-9397-08002B2CF9AE}" pid="3" name="KSOProductBuildVer">
    <vt:lpwstr>1049-12.1.0.29162</vt:lpwstr>
  </property>
  <property fmtid="{D5CDD505-2E9C-101B-9397-08002B2CF9AE}" pid="4" name="ICV">
    <vt:lpwstr>2C6AED7C7D6E44E686AEDFA93B389B16_12</vt:lpwstr>
  </property>
</Properties>
</file>